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5F" w:rsidRDefault="00755CF2" w:rsidP="00F1575F">
      <w:pPr>
        <w:jc w:val="center"/>
        <w:rPr>
          <w:b/>
          <w:bCs/>
          <w:spacing w:val="26"/>
          <w:sz w:val="32"/>
        </w:rPr>
      </w:pPr>
      <w:r>
        <w:rPr>
          <w:b/>
          <w:bCs/>
          <w:noProof/>
          <w:spacing w:val="26"/>
          <w:sz w:val="32"/>
        </w:rPr>
        <w:drawing>
          <wp:inline distT="0" distB="0" distL="0" distR="0">
            <wp:extent cx="3304032" cy="1865376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emberg-2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F2" w:rsidRPr="00F451AB" w:rsidRDefault="00755CF2" w:rsidP="00F1575F">
      <w:pPr>
        <w:jc w:val="center"/>
        <w:rPr>
          <w:b/>
          <w:bCs/>
          <w:spacing w:val="26"/>
          <w:sz w:val="32"/>
        </w:rPr>
      </w:pPr>
    </w:p>
    <w:p w:rsidR="00F1575F" w:rsidRDefault="00F1575F" w:rsidP="00755CF2">
      <w:pPr>
        <w:spacing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Bebauungsplan ”</w:t>
      </w:r>
      <w:r w:rsidR="00755CF2">
        <w:rPr>
          <w:rFonts w:cs="Arial"/>
          <w:b/>
          <w:sz w:val="28"/>
        </w:rPr>
        <w:t>Gassen II</w:t>
      </w:r>
      <w:r>
        <w:rPr>
          <w:rFonts w:cs="Arial"/>
          <w:b/>
          <w:sz w:val="28"/>
        </w:rPr>
        <w:t>“</w:t>
      </w:r>
      <w:r w:rsidR="00755CF2">
        <w:rPr>
          <w:rFonts w:cs="Arial"/>
          <w:b/>
          <w:sz w:val="28"/>
        </w:rPr>
        <w:t xml:space="preserve"> in Schömberg</w:t>
      </w:r>
    </w:p>
    <w:p w:rsidR="00281063" w:rsidRDefault="00281063" w:rsidP="00F1575F">
      <w:pPr>
        <w:tabs>
          <w:tab w:val="left" w:pos="2170"/>
        </w:tabs>
        <w:spacing w:line="360" w:lineRule="auto"/>
        <w:ind w:left="2127"/>
        <w:rPr>
          <w:rFonts w:cs="Arial"/>
          <w:b/>
          <w:sz w:val="28"/>
        </w:rPr>
      </w:pPr>
    </w:p>
    <w:p w:rsidR="00F1575F" w:rsidRDefault="00F1575F" w:rsidP="00F1575F">
      <w:pPr>
        <w:tabs>
          <w:tab w:val="left" w:pos="2170"/>
        </w:tabs>
        <w:spacing w:line="360" w:lineRule="auto"/>
        <w:ind w:left="2127"/>
        <w:rPr>
          <w:rFonts w:cs="Arial"/>
          <w:b/>
          <w:sz w:val="28"/>
        </w:rPr>
      </w:pPr>
    </w:p>
    <w:p w:rsidR="00281063" w:rsidRDefault="00281063" w:rsidP="00281063">
      <w:pPr>
        <w:spacing w:line="360" w:lineRule="auto"/>
        <w:rPr>
          <w:rFonts w:cs="Arial"/>
        </w:rPr>
      </w:pPr>
      <w:r>
        <w:rPr>
          <w:rFonts w:cs="Arial"/>
        </w:rPr>
        <w:t xml:space="preserve">Zur Ergänzung der zeichnerischen und schriftlichen Festsetzungen des Bebauungsplans vom </w:t>
      </w:r>
      <w:r w:rsidR="00C50C9A">
        <w:rPr>
          <w:rFonts w:cs="Arial"/>
        </w:rPr>
        <w:t xml:space="preserve">                                21.11.2018 </w:t>
      </w:r>
      <w:r>
        <w:rPr>
          <w:rFonts w:cs="Arial"/>
        </w:rPr>
        <w:t xml:space="preserve">im Maßstab </w:t>
      </w:r>
      <w:proofErr w:type="gramStart"/>
      <w:r>
        <w:rPr>
          <w:rFonts w:cs="Arial"/>
        </w:rPr>
        <w:t>1 :</w:t>
      </w:r>
      <w:proofErr w:type="gramEnd"/>
      <w:r>
        <w:rPr>
          <w:rFonts w:cs="Arial"/>
        </w:rPr>
        <w:t xml:space="preserve"> 500 werden folgende </w:t>
      </w:r>
    </w:p>
    <w:p w:rsidR="00281063" w:rsidRDefault="00281063" w:rsidP="00281063">
      <w:pPr>
        <w:spacing w:line="360" w:lineRule="auto"/>
        <w:rPr>
          <w:rFonts w:cs="Arial"/>
        </w:rPr>
      </w:pPr>
    </w:p>
    <w:p w:rsidR="00281063" w:rsidRDefault="00281063" w:rsidP="00281063">
      <w:pPr>
        <w:spacing w:line="360" w:lineRule="auto"/>
        <w:ind w:firstLine="1710"/>
        <w:rPr>
          <w:rFonts w:cs="Arial"/>
          <w:b/>
          <w:caps/>
          <w:spacing w:val="30"/>
        </w:rPr>
      </w:pPr>
      <w:r>
        <w:rPr>
          <w:rFonts w:cs="Arial"/>
          <w:b/>
          <w:caps/>
          <w:spacing w:val="30"/>
        </w:rPr>
        <w:t>Örtliche Bauvorschriften</w:t>
      </w:r>
    </w:p>
    <w:p w:rsidR="00281063" w:rsidRDefault="00281063" w:rsidP="00281063">
      <w:pPr>
        <w:spacing w:line="360" w:lineRule="auto"/>
        <w:rPr>
          <w:rFonts w:cs="Arial"/>
        </w:rPr>
      </w:pPr>
    </w:p>
    <w:p w:rsidR="00281063" w:rsidRDefault="00281063" w:rsidP="00281063">
      <w:pPr>
        <w:spacing w:line="360" w:lineRule="auto"/>
        <w:rPr>
          <w:rFonts w:cs="Arial"/>
        </w:rPr>
      </w:pPr>
      <w:r>
        <w:rPr>
          <w:rFonts w:cs="Arial"/>
        </w:rPr>
        <w:t>aufgestellt.</w:t>
      </w:r>
    </w:p>
    <w:p w:rsidR="00281063" w:rsidRDefault="00281063" w:rsidP="00281063">
      <w:pPr>
        <w:spacing w:line="360" w:lineRule="auto"/>
        <w:rPr>
          <w:rFonts w:cs="Arial"/>
        </w:rPr>
      </w:pP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Ziffer</w:t>
      </w:r>
      <w:r>
        <w:rPr>
          <w:rFonts w:cs="Arial"/>
        </w:rPr>
        <w:tab/>
        <w:t>Inhalt</w:t>
      </w:r>
      <w:r>
        <w:rPr>
          <w:rFonts w:cs="Arial"/>
        </w:rPr>
        <w:tab/>
        <w:t xml:space="preserve">Seite 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  <w:u w:val="single"/>
        </w:rPr>
      </w:pPr>
      <w:r>
        <w:rPr>
          <w:rFonts w:cs="Arial"/>
        </w:rPr>
        <w:t>3.</w:t>
      </w:r>
      <w:r>
        <w:rPr>
          <w:rFonts w:cs="Arial"/>
        </w:rPr>
        <w:tab/>
      </w:r>
      <w:r>
        <w:rPr>
          <w:rFonts w:cs="Arial"/>
          <w:u w:val="single"/>
        </w:rPr>
        <w:t>Örtliche Bauvorschriften</w:t>
      </w:r>
      <w:r>
        <w:rPr>
          <w:rFonts w:ascii="Arial (W1)" w:hAnsi="Arial (W1)" w:cs="Arial"/>
        </w:rPr>
        <w:tab/>
        <w:t>2</w:t>
      </w:r>
    </w:p>
    <w:p w:rsidR="00281063" w:rsidRDefault="00281063" w:rsidP="00281063">
      <w:pPr>
        <w:pStyle w:val="E-Mail-Signatur"/>
        <w:tabs>
          <w:tab w:val="left" w:pos="1736"/>
          <w:tab w:val="right" w:pos="7378"/>
        </w:tabs>
        <w:spacing w:line="360" w:lineRule="auto"/>
        <w:rPr>
          <w:rFonts w:cs="Arial"/>
        </w:rPr>
      </w:pPr>
    </w:p>
    <w:p w:rsidR="00281063" w:rsidRDefault="00281063" w:rsidP="00281063">
      <w:pPr>
        <w:pStyle w:val="E-Mail-Signatur"/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3.1.</w:t>
      </w:r>
      <w:r>
        <w:rPr>
          <w:rFonts w:cs="Arial"/>
        </w:rPr>
        <w:tab/>
        <w:t xml:space="preserve">Dachformen / </w:t>
      </w:r>
      <w:r w:rsidR="001772EC">
        <w:rPr>
          <w:rFonts w:cs="Arial"/>
        </w:rPr>
        <w:t xml:space="preserve">Dachneigung / </w:t>
      </w:r>
      <w:r>
        <w:rPr>
          <w:rFonts w:cs="Arial"/>
        </w:rPr>
        <w:t>Dachgestaltung</w:t>
      </w:r>
      <w:r>
        <w:rPr>
          <w:rFonts w:cs="Arial"/>
        </w:rPr>
        <w:tab/>
        <w:t>2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3.2.</w:t>
      </w:r>
      <w:r>
        <w:rPr>
          <w:rFonts w:cs="Arial"/>
        </w:rPr>
        <w:tab/>
        <w:t>Garagen und Stellplätze</w:t>
      </w:r>
      <w:r>
        <w:rPr>
          <w:rFonts w:cs="Arial"/>
        </w:rPr>
        <w:tab/>
        <w:t>2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3.3.</w:t>
      </w:r>
      <w:r>
        <w:rPr>
          <w:rFonts w:cs="Arial"/>
        </w:rPr>
        <w:tab/>
        <w:t>Gestaltung der unbebauten Flächen</w:t>
      </w:r>
      <w:r>
        <w:rPr>
          <w:rFonts w:cs="Arial"/>
        </w:rPr>
        <w:tab/>
        <w:t>2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3.4.</w:t>
      </w:r>
      <w:r>
        <w:rPr>
          <w:rFonts w:cs="Arial"/>
        </w:rPr>
        <w:tab/>
        <w:t>Versorgungsleitungen</w:t>
      </w:r>
      <w:r>
        <w:rPr>
          <w:rFonts w:cs="Arial"/>
        </w:rPr>
        <w:tab/>
        <w:t>2</w:t>
      </w:r>
    </w:p>
    <w:p w:rsidR="00E57EC9" w:rsidRDefault="00E57EC9" w:rsidP="00E57EC9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3.5</w:t>
      </w:r>
      <w:r>
        <w:rPr>
          <w:rFonts w:cs="Arial"/>
        </w:rPr>
        <w:tab/>
        <w:t>Entwässerungssystem</w:t>
      </w:r>
      <w:r>
        <w:rPr>
          <w:rFonts w:cs="Arial"/>
        </w:rPr>
        <w:tab/>
        <w:t>2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rPr>
          <w:rFonts w:cs="Arial"/>
          <w:u w:val="single"/>
        </w:rPr>
        <w:t>Hinweise</w:t>
      </w:r>
      <w:r>
        <w:rPr>
          <w:rFonts w:cs="Arial"/>
        </w:rPr>
        <w:tab/>
      </w:r>
      <w:r w:rsidR="00E57EC9">
        <w:rPr>
          <w:rFonts w:cs="Arial"/>
        </w:rPr>
        <w:t>3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4.</w:t>
      </w:r>
      <w:r w:rsidR="00755CF2">
        <w:rPr>
          <w:rFonts w:cs="Arial"/>
        </w:rPr>
        <w:t>1</w:t>
      </w:r>
      <w:r>
        <w:rPr>
          <w:rFonts w:cs="Arial"/>
        </w:rPr>
        <w:t>.</w:t>
      </w:r>
      <w:r>
        <w:rPr>
          <w:rFonts w:cs="Arial"/>
        </w:rPr>
        <w:tab/>
        <w:t>Kanalhausanschlüsse</w:t>
      </w:r>
      <w:r>
        <w:rPr>
          <w:rFonts w:cs="Arial"/>
        </w:rPr>
        <w:tab/>
      </w:r>
      <w:r w:rsidR="006B7B08">
        <w:rPr>
          <w:rFonts w:cs="Arial"/>
        </w:rPr>
        <w:t>3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4.</w:t>
      </w:r>
      <w:r w:rsidR="00755CF2">
        <w:rPr>
          <w:rFonts w:cs="Arial"/>
        </w:rPr>
        <w:t>3</w:t>
      </w:r>
      <w:r>
        <w:rPr>
          <w:rFonts w:cs="Arial"/>
        </w:rPr>
        <w:t>.</w:t>
      </w:r>
      <w:r>
        <w:rPr>
          <w:rFonts w:cs="Arial"/>
        </w:rPr>
        <w:tab/>
        <w:t>Bodenfunde</w:t>
      </w:r>
      <w:r>
        <w:rPr>
          <w:rFonts w:cs="Arial"/>
        </w:rPr>
        <w:tab/>
        <w:t>3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t>4.</w:t>
      </w:r>
      <w:r w:rsidR="00755CF2">
        <w:rPr>
          <w:rFonts w:cs="Arial"/>
        </w:rPr>
        <w:t>4</w:t>
      </w:r>
      <w:r>
        <w:rPr>
          <w:rFonts w:cs="Arial"/>
        </w:rPr>
        <w:t>.</w:t>
      </w:r>
      <w:r>
        <w:rPr>
          <w:rFonts w:cs="Arial"/>
        </w:rPr>
        <w:tab/>
      </w:r>
      <w:r w:rsidR="00755CF2">
        <w:rPr>
          <w:rFonts w:cs="Arial"/>
        </w:rPr>
        <w:t>Lärmschutz</w:t>
      </w:r>
      <w:r>
        <w:rPr>
          <w:rFonts w:cs="Arial"/>
        </w:rPr>
        <w:t xml:space="preserve"> </w:t>
      </w:r>
      <w:r>
        <w:rPr>
          <w:rFonts w:cs="Arial"/>
        </w:rPr>
        <w:tab/>
        <w:t>3</w:t>
      </w: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</w:p>
    <w:p w:rsidR="00281063" w:rsidRDefault="00281063" w:rsidP="00281063">
      <w:pPr>
        <w:tabs>
          <w:tab w:val="left" w:pos="1736"/>
          <w:tab w:val="right" w:pos="7378"/>
        </w:tabs>
        <w:spacing w:line="360" w:lineRule="auto"/>
        <w:rPr>
          <w:rFonts w:cs="Arial"/>
        </w:rPr>
      </w:pPr>
    </w:p>
    <w:p w:rsidR="00E57EC9" w:rsidRDefault="0000137E" w:rsidP="00DD7E73">
      <w:pPr>
        <w:pStyle w:val="E-Mail-Signatur"/>
        <w:tabs>
          <w:tab w:val="left" w:pos="1736"/>
          <w:tab w:val="right" w:pos="7378"/>
        </w:tabs>
        <w:spacing w:line="360" w:lineRule="auto"/>
        <w:rPr>
          <w:rFonts w:cs="Arial"/>
        </w:rPr>
      </w:pPr>
      <w:r>
        <w:rPr>
          <w:rFonts w:cs="Arial"/>
        </w:rPr>
        <w:br w:type="column"/>
      </w:r>
    </w:p>
    <w:p w:rsidR="00281063" w:rsidRDefault="00281063" w:rsidP="00DD7E73">
      <w:pPr>
        <w:pStyle w:val="E-Mail-Signatur"/>
        <w:tabs>
          <w:tab w:val="left" w:pos="1736"/>
          <w:tab w:val="right" w:pos="7378"/>
        </w:tabs>
        <w:spacing w:line="360" w:lineRule="auto"/>
        <w:rPr>
          <w:b/>
        </w:rPr>
      </w:pPr>
      <w:r>
        <w:rPr>
          <w:b/>
        </w:rPr>
        <w:t>3.</w:t>
      </w:r>
      <w:r>
        <w:rPr>
          <w:b/>
        </w:rPr>
        <w:tab/>
        <w:t>Bauordnungsrechtliche Festsetzungen (§ 74 LBO)</w:t>
      </w:r>
    </w:p>
    <w:p w:rsidR="00281063" w:rsidRDefault="00281063" w:rsidP="00281063">
      <w:pPr>
        <w:ind w:right="907"/>
        <w:jc w:val="both"/>
      </w:pPr>
    </w:p>
    <w:p w:rsidR="00281063" w:rsidRDefault="00281063" w:rsidP="00281063">
      <w:pPr>
        <w:spacing w:line="240" w:lineRule="exact"/>
        <w:ind w:right="907"/>
        <w:jc w:val="both"/>
        <w:rPr>
          <w:b/>
        </w:rPr>
      </w:pPr>
      <w:r>
        <w:rPr>
          <w:b/>
        </w:rPr>
        <w:t>3.1</w:t>
      </w:r>
      <w:r>
        <w:rPr>
          <w:b/>
        </w:rPr>
        <w:tab/>
        <w:t xml:space="preserve">Dachformen / </w:t>
      </w:r>
      <w:r w:rsidR="001772EC">
        <w:rPr>
          <w:b/>
        </w:rPr>
        <w:t xml:space="preserve">Dachneigung / </w:t>
      </w:r>
      <w:r>
        <w:rPr>
          <w:b/>
        </w:rPr>
        <w:t>Dachgestaltung (§ 74 Abs. 1 Nr. 1 LBO)</w:t>
      </w:r>
    </w:p>
    <w:p w:rsidR="00281063" w:rsidRDefault="00281063" w:rsidP="00281063">
      <w:pPr>
        <w:ind w:right="907"/>
        <w:jc w:val="both"/>
      </w:pPr>
    </w:p>
    <w:p w:rsidR="00621B6D" w:rsidRDefault="00621B6D" w:rsidP="00621B6D">
      <w:pPr>
        <w:pStyle w:val="berschrift1"/>
      </w:pPr>
      <w:r>
        <w:t>Dachformen und Dachneigungen</w:t>
      </w:r>
    </w:p>
    <w:p w:rsidR="00621B6D" w:rsidRDefault="00621B6D" w:rsidP="00621B6D">
      <w:pPr>
        <w:ind w:left="709" w:right="907"/>
        <w:jc w:val="both"/>
      </w:pPr>
    </w:p>
    <w:p w:rsidR="00621B6D" w:rsidRDefault="00621B6D" w:rsidP="00621B6D">
      <w:pPr>
        <w:ind w:left="709" w:right="907"/>
        <w:jc w:val="both"/>
      </w:pPr>
      <w:r>
        <w:t>Dachformen: frei</w:t>
      </w:r>
    </w:p>
    <w:p w:rsidR="00621B6D" w:rsidRDefault="00621B6D" w:rsidP="00621B6D">
      <w:pPr>
        <w:ind w:left="709" w:right="907"/>
        <w:jc w:val="both"/>
      </w:pPr>
      <w:r>
        <w:t>Dachneigungen: frei</w:t>
      </w:r>
    </w:p>
    <w:p w:rsidR="00281063" w:rsidRDefault="00281063" w:rsidP="00281063">
      <w:pPr>
        <w:ind w:right="907"/>
        <w:jc w:val="both"/>
      </w:pPr>
      <w:bookmarkStart w:id="0" w:name="_GoBack"/>
      <w:bookmarkEnd w:id="0"/>
    </w:p>
    <w:p w:rsidR="00281063" w:rsidRDefault="00281063" w:rsidP="00281063">
      <w:pPr>
        <w:pStyle w:val="berschrift1"/>
        <w:spacing w:line="240" w:lineRule="exact"/>
      </w:pPr>
      <w:r>
        <w:t>Dachaufbauten</w:t>
      </w:r>
      <w:r w:rsidR="006633E5">
        <w:t>,</w:t>
      </w:r>
      <w:r>
        <w:t xml:space="preserve"> Dacheinschnitte</w:t>
      </w:r>
      <w:r w:rsidR="006633E5">
        <w:t>, Zwerchgiebel</w:t>
      </w:r>
    </w:p>
    <w:p w:rsidR="00C50C9A" w:rsidRDefault="00281063" w:rsidP="006633E5">
      <w:pPr>
        <w:spacing w:line="240" w:lineRule="exact"/>
        <w:ind w:left="709" w:right="907"/>
        <w:jc w:val="both"/>
      </w:pPr>
      <w:r>
        <w:t>Dachaufbauten</w:t>
      </w:r>
      <w:r w:rsidR="006633E5">
        <w:t>,</w:t>
      </w:r>
      <w:r>
        <w:t xml:space="preserve"> Dacheinschnitte </w:t>
      </w:r>
      <w:r w:rsidR="006633E5">
        <w:t xml:space="preserve">und Zwerchgiebel </w:t>
      </w:r>
      <w:r>
        <w:t xml:space="preserve">sind </w:t>
      </w:r>
      <w:r w:rsidR="006633E5" w:rsidRPr="00E57EC9">
        <w:t>bis zu 60 %</w:t>
      </w:r>
      <w:r w:rsidR="00C60B81" w:rsidRPr="00E57EC9">
        <w:t xml:space="preserve"> der</w:t>
      </w:r>
      <w:r w:rsidR="006633E5" w:rsidRPr="00E57EC9">
        <w:t xml:space="preserve"> jeweiligen Dachseite </w:t>
      </w:r>
      <w:r>
        <w:t xml:space="preserve">zugelassen. </w:t>
      </w:r>
      <w:r w:rsidR="006633E5" w:rsidRPr="00E57EC9">
        <w:t xml:space="preserve">Der Abstand zur Giebelwand darf 1,25 m und zum First </w:t>
      </w:r>
    </w:p>
    <w:p w:rsidR="006633E5" w:rsidRPr="00E57EC9" w:rsidRDefault="006633E5" w:rsidP="006633E5">
      <w:pPr>
        <w:spacing w:line="240" w:lineRule="exact"/>
        <w:ind w:left="709" w:right="907"/>
        <w:jc w:val="both"/>
      </w:pPr>
      <w:r w:rsidRPr="00E57EC9">
        <w:t>0,90 m nicht unterschreiten. Dachaufbauten auf einer Dachfläche sind einheitlich zu gestalten.</w:t>
      </w:r>
    </w:p>
    <w:p w:rsidR="00281063" w:rsidRDefault="00281063" w:rsidP="00281063">
      <w:pPr>
        <w:ind w:right="907"/>
        <w:jc w:val="both"/>
      </w:pPr>
    </w:p>
    <w:p w:rsidR="006633E5" w:rsidRDefault="006633E5" w:rsidP="00281063">
      <w:pPr>
        <w:ind w:right="907"/>
        <w:jc w:val="both"/>
      </w:pPr>
    </w:p>
    <w:p w:rsidR="00281063" w:rsidRDefault="00281063" w:rsidP="00281063">
      <w:pPr>
        <w:spacing w:line="240" w:lineRule="exact"/>
        <w:ind w:right="907"/>
        <w:jc w:val="both"/>
        <w:rPr>
          <w:b/>
        </w:rPr>
      </w:pPr>
      <w:r>
        <w:rPr>
          <w:b/>
        </w:rPr>
        <w:t>3.2.</w:t>
      </w:r>
      <w:r>
        <w:rPr>
          <w:b/>
        </w:rPr>
        <w:tab/>
        <w:t>Garagen und Stellplätze (§ 37 LBO und § 74 Abs. 2 Nr. 2</w:t>
      </w:r>
      <w:r w:rsidR="00AB515C">
        <w:rPr>
          <w:b/>
        </w:rPr>
        <w:t xml:space="preserve"> und Nr. 3</w:t>
      </w:r>
      <w:r>
        <w:rPr>
          <w:b/>
        </w:rPr>
        <w:t>)</w:t>
      </w:r>
      <w:r w:rsidR="00AB515C">
        <w:rPr>
          <w:b/>
        </w:rPr>
        <w:t xml:space="preserve"> </w:t>
      </w:r>
    </w:p>
    <w:p w:rsidR="00281063" w:rsidRDefault="00281063" w:rsidP="00281063">
      <w:pPr>
        <w:ind w:left="709" w:right="907"/>
        <w:jc w:val="both"/>
      </w:pPr>
    </w:p>
    <w:p w:rsidR="00281063" w:rsidRDefault="00281063" w:rsidP="00281063">
      <w:pPr>
        <w:pStyle w:val="berschrift1"/>
        <w:spacing w:line="240" w:lineRule="exact"/>
        <w:rPr>
          <w:bCs/>
        </w:rPr>
      </w:pPr>
      <w:r>
        <w:rPr>
          <w:bCs/>
        </w:rPr>
        <w:t>Zahl der Stellplätze</w:t>
      </w:r>
    </w:p>
    <w:p w:rsidR="00AB515C" w:rsidRDefault="00C60B81" w:rsidP="00C60B81">
      <w:pPr>
        <w:spacing w:line="240" w:lineRule="exact"/>
        <w:ind w:left="709" w:right="907"/>
        <w:jc w:val="both"/>
      </w:pPr>
      <w:r>
        <w:t xml:space="preserve">Je Wohneinheit sind </w:t>
      </w:r>
      <w:r w:rsidR="00E57EC9">
        <w:t>2</w:t>
      </w:r>
      <w:r>
        <w:t xml:space="preserve"> Stellplätze herzustellen. </w:t>
      </w:r>
    </w:p>
    <w:p w:rsidR="00E57EC9" w:rsidRDefault="00E57EC9" w:rsidP="00C60B81">
      <w:pPr>
        <w:spacing w:line="240" w:lineRule="exact"/>
        <w:ind w:left="709" w:right="907"/>
        <w:jc w:val="both"/>
      </w:pPr>
    </w:p>
    <w:p w:rsidR="00AB515C" w:rsidRDefault="00AB515C" w:rsidP="00C60B81">
      <w:pPr>
        <w:spacing w:line="240" w:lineRule="exact"/>
        <w:ind w:left="709" w:right="907"/>
        <w:jc w:val="both"/>
      </w:pPr>
      <w:r>
        <w:t>Private Zufahrten und Stellplätze sind wasserdurchlässig herzustellen.</w:t>
      </w:r>
    </w:p>
    <w:p w:rsidR="00281063" w:rsidRDefault="00281063" w:rsidP="00281063">
      <w:pPr>
        <w:spacing w:line="240" w:lineRule="exact"/>
        <w:ind w:right="907"/>
        <w:jc w:val="both"/>
      </w:pPr>
    </w:p>
    <w:p w:rsidR="00444761" w:rsidRDefault="00444761" w:rsidP="00281063">
      <w:pPr>
        <w:spacing w:line="240" w:lineRule="exact"/>
        <w:ind w:right="907"/>
        <w:jc w:val="both"/>
      </w:pPr>
    </w:p>
    <w:p w:rsidR="00281063" w:rsidRDefault="00281063" w:rsidP="00281063">
      <w:pPr>
        <w:spacing w:line="240" w:lineRule="exact"/>
        <w:ind w:right="907"/>
        <w:jc w:val="both"/>
        <w:rPr>
          <w:b/>
        </w:rPr>
      </w:pPr>
      <w:r>
        <w:rPr>
          <w:b/>
        </w:rPr>
        <w:t>3.3.</w:t>
      </w:r>
      <w:r>
        <w:rPr>
          <w:b/>
        </w:rPr>
        <w:tab/>
        <w:t>Gestaltung der unbebauten Flächen (§ 74 Abs. 1 Nr. 3 LBO)</w:t>
      </w:r>
    </w:p>
    <w:p w:rsidR="00281063" w:rsidRDefault="00281063" w:rsidP="00281063">
      <w:pPr>
        <w:ind w:left="709" w:right="907"/>
        <w:jc w:val="both"/>
      </w:pPr>
    </w:p>
    <w:p w:rsidR="00281063" w:rsidRDefault="00281063" w:rsidP="00281063">
      <w:pPr>
        <w:spacing w:line="240" w:lineRule="exact"/>
        <w:ind w:left="709" w:right="907"/>
        <w:jc w:val="both"/>
      </w:pPr>
      <w:r>
        <w:t>Die Flächen zwischen der Straßenbegrenzungslinie und den Gebäuden sind als landschaftsgärtnerisch gestaltete, offene Vorgärten unter Beachtung der Ziffer 2.</w:t>
      </w:r>
      <w:r w:rsidR="006B7B08">
        <w:t>5</w:t>
      </w:r>
      <w:r>
        <w:t xml:space="preserve">. </w:t>
      </w:r>
      <w:r w:rsidR="001772EC">
        <w:t xml:space="preserve">(Planungsrechtliche Festsetzungen) </w:t>
      </w:r>
      <w:r>
        <w:t xml:space="preserve">anzulegen. Einfriedungen </w:t>
      </w:r>
      <w:r w:rsidR="00E57EC9">
        <w:t xml:space="preserve">entlang der Straße </w:t>
      </w:r>
      <w:r>
        <w:t xml:space="preserve">sind als Trockenmauern oder Hecken </w:t>
      </w:r>
      <w:r w:rsidR="00E57EC9">
        <w:t xml:space="preserve">bis zu einer Höhe von max. 1,00 m </w:t>
      </w:r>
      <w:r>
        <w:t xml:space="preserve">zugelassen. </w:t>
      </w:r>
      <w:r w:rsidR="00E57EC9">
        <w:t>Im</w:t>
      </w:r>
      <w:r>
        <w:t xml:space="preserve"> übrigen Bereich </w:t>
      </w:r>
      <w:r w:rsidR="00E57EC9">
        <w:t xml:space="preserve">sind auch Zäune </w:t>
      </w:r>
      <w:r>
        <w:t>zu</w:t>
      </w:r>
      <w:r w:rsidR="00E57EC9">
        <w:t>lässig entsprechend den nachbarrechtlichen Vorschriften.</w:t>
      </w:r>
    </w:p>
    <w:p w:rsidR="00143A4D" w:rsidRDefault="00143A4D" w:rsidP="00281063">
      <w:pPr>
        <w:spacing w:line="240" w:lineRule="exact"/>
        <w:ind w:left="709" w:right="907"/>
        <w:jc w:val="both"/>
      </w:pPr>
    </w:p>
    <w:p w:rsidR="00281063" w:rsidRDefault="00281063" w:rsidP="00281063">
      <w:pPr>
        <w:ind w:right="907"/>
        <w:jc w:val="both"/>
      </w:pPr>
    </w:p>
    <w:p w:rsidR="00281063" w:rsidRDefault="00281063" w:rsidP="00281063">
      <w:pPr>
        <w:spacing w:line="240" w:lineRule="exact"/>
        <w:ind w:right="907"/>
        <w:jc w:val="both"/>
        <w:rPr>
          <w:b/>
        </w:rPr>
      </w:pPr>
      <w:r>
        <w:rPr>
          <w:b/>
        </w:rPr>
        <w:t>3.4.</w:t>
      </w:r>
      <w:r>
        <w:rPr>
          <w:b/>
        </w:rPr>
        <w:tab/>
        <w:t>Versorgungsleitungen (§ 74 Abs. 1 Nr. 4, 5 LBO)</w:t>
      </w:r>
    </w:p>
    <w:p w:rsidR="00281063" w:rsidRDefault="00281063" w:rsidP="00281063">
      <w:pPr>
        <w:ind w:right="907"/>
        <w:jc w:val="both"/>
      </w:pPr>
    </w:p>
    <w:p w:rsidR="00281063" w:rsidRDefault="00281063" w:rsidP="00281063">
      <w:pPr>
        <w:spacing w:line="240" w:lineRule="exact"/>
        <w:ind w:left="709" w:right="907"/>
        <w:jc w:val="both"/>
      </w:pPr>
      <w:r>
        <w:t xml:space="preserve">Sämtliche Versorgungsleitungen sind unterirdisch zu verlegen. Kabelverteilerkästen der Versorgungsträger sind auf den Baugrundstücken </w:t>
      </w:r>
      <w:r w:rsidR="00E57EC9">
        <w:t xml:space="preserve">bis zur erforderlichen Breite und Tiefe </w:t>
      </w:r>
      <w:r>
        <w:t>zu dulden.</w:t>
      </w:r>
    </w:p>
    <w:p w:rsidR="00281063" w:rsidRDefault="00281063" w:rsidP="00281063">
      <w:pPr>
        <w:spacing w:line="240" w:lineRule="exact"/>
        <w:ind w:left="709" w:right="907"/>
        <w:jc w:val="both"/>
      </w:pPr>
    </w:p>
    <w:p w:rsidR="00E57EC9" w:rsidRDefault="00E57EC9" w:rsidP="00281063">
      <w:pPr>
        <w:spacing w:line="240" w:lineRule="exact"/>
        <w:ind w:left="709" w:right="907"/>
        <w:jc w:val="both"/>
      </w:pPr>
    </w:p>
    <w:p w:rsidR="00E57EC9" w:rsidRDefault="00E57EC9" w:rsidP="00E57EC9">
      <w:pPr>
        <w:spacing w:line="240" w:lineRule="exact"/>
        <w:ind w:right="907"/>
        <w:jc w:val="both"/>
        <w:rPr>
          <w:b/>
        </w:rPr>
      </w:pPr>
      <w:r>
        <w:rPr>
          <w:b/>
        </w:rPr>
        <w:t>3.5</w:t>
      </w:r>
      <w:r>
        <w:rPr>
          <w:b/>
        </w:rPr>
        <w:tab/>
        <w:t>Entwässerungssystem</w:t>
      </w:r>
    </w:p>
    <w:p w:rsidR="00E57EC9" w:rsidRPr="00E57EC9" w:rsidRDefault="00E57EC9" w:rsidP="00E57EC9">
      <w:pPr>
        <w:spacing w:line="240" w:lineRule="exact"/>
        <w:ind w:right="907"/>
        <w:jc w:val="both"/>
        <w:rPr>
          <w:b/>
        </w:rPr>
      </w:pPr>
    </w:p>
    <w:p w:rsidR="00E57EC9" w:rsidRDefault="00E57EC9" w:rsidP="00E57EC9">
      <w:pPr>
        <w:spacing w:line="240" w:lineRule="exact"/>
        <w:ind w:left="708" w:right="907"/>
        <w:jc w:val="both"/>
      </w:pPr>
      <w:r w:rsidRPr="00E57EC9">
        <w:t xml:space="preserve">Die Entwässerung des Gebietes erfolgt im Mischsystem. Falls bei der Erschließung Grund- bzw. Quellwasseraustritte angeschnitten werden, sind diese dem Landratsamt </w:t>
      </w:r>
      <w:r>
        <w:t xml:space="preserve">Zollernalbkreis </w:t>
      </w:r>
      <w:r w:rsidRPr="00E57EC9">
        <w:t xml:space="preserve">anzuzeigen. </w:t>
      </w:r>
    </w:p>
    <w:p w:rsidR="00E57EC9" w:rsidRDefault="00E57EC9" w:rsidP="00E57EC9">
      <w:pPr>
        <w:spacing w:line="240" w:lineRule="exact"/>
        <w:ind w:left="708" w:right="907"/>
        <w:jc w:val="both"/>
      </w:pPr>
    </w:p>
    <w:p w:rsidR="00E57EC9" w:rsidRPr="00E57EC9" w:rsidRDefault="00E57EC9" w:rsidP="00E57EC9">
      <w:pPr>
        <w:spacing w:line="240" w:lineRule="exact"/>
        <w:ind w:left="708" w:right="907"/>
        <w:jc w:val="both"/>
      </w:pPr>
      <w:r w:rsidRPr="00E57EC9">
        <w:t>Um die Belastung der Kanalisation mit Oberflächenwasser und Überschwemmungsgefahren zu reduzieren, ist auf jedem Bauplatz eine Zisterne mit einem Fassungsvermögen von mindestens 4 m³ zum Auffangen und Sammeln von Regen- und Schmelzwasser der Dachflächen zu errichten. Der Überlauf ist an die Kanalisation anzuschließen.</w:t>
      </w:r>
    </w:p>
    <w:p w:rsidR="00E57EC9" w:rsidRDefault="00E57EC9" w:rsidP="00E57EC9">
      <w:pPr>
        <w:spacing w:line="240" w:lineRule="exact"/>
        <w:ind w:left="708" w:right="907"/>
        <w:jc w:val="both"/>
      </w:pPr>
    </w:p>
    <w:p w:rsidR="00E57EC9" w:rsidRDefault="00E57EC9" w:rsidP="00E57EC9">
      <w:pPr>
        <w:spacing w:line="240" w:lineRule="exact"/>
        <w:ind w:left="708" w:right="907"/>
        <w:jc w:val="both"/>
      </w:pPr>
    </w:p>
    <w:p w:rsidR="00E57EC9" w:rsidRPr="00E57EC9" w:rsidRDefault="00E57EC9" w:rsidP="00E57EC9">
      <w:pPr>
        <w:spacing w:line="240" w:lineRule="exact"/>
        <w:ind w:left="708" w:right="907"/>
        <w:jc w:val="both"/>
      </w:pPr>
    </w:p>
    <w:p w:rsidR="00E57EC9" w:rsidRPr="00E57EC9" w:rsidRDefault="00E57EC9" w:rsidP="00E57EC9">
      <w:pPr>
        <w:spacing w:line="240" w:lineRule="exact"/>
        <w:ind w:left="708" w:right="907"/>
        <w:jc w:val="both"/>
      </w:pPr>
      <w:r w:rsidRPr="00E57EC9">
        <w:t xml:space="preserve">Sofern das aufgefangene Wasser als Brauchwasser im häuslichen Bereich verwendet wird, ist zu beachten, dass eine direkte Verbindung von Trinkwasseranlagen mit </w:t>
      </w:r>
    </w:p>
    <w:p w:rsidR="00E57EC9" w:rsidRPr="00E57EC9" w:rsidRDefault="00E57EC9" w:rsidP="00E57EC9">
      <w:pPr>
        <w:spacing w:line="240" w:lineRule="exact"/>
        <w:ind w:left="708" w:right="907"/>
        <w:jc w:val="both"/>
      </w:pPr>
      <w:r w:rsidRPr="00E57EC9">
        <w:t>Regenwasseranlagen nach der Trinkwasserverordnung (TrinkwV) nicht zulässig ist.</w:t>
      </w:r>
    </w:p>
    <w:p w:rsidR="00E57EC9" w:rsidRPr="00E57EC9" w:rsidRDefault="00E57EC9" w:rsidP="00E57EC9">
      <w:pPr>
        <w:spacing w:line="240" w:lineRule="exact"/>
        <w:ind w:left="708" w:right="907"/>
        <w:jc w:val="both"/>
      </w:pPr>
    </w:p>
    <w:p w:rsidR="00E57EC9" w:rsidRDefault="00E57EC9" w:rsidP="00E57EC9">
      <w:pPr>
        <w:spacing w:line="240" w:lineRule="exact"/>
        <w:ind w:left="708" w:right="907"/>
        <w:jc w:val="both"/>
      </w:pPr>
      <w:r w:rsidRPr="00E57EC9">
        <w:t>Bei Nutzung von Regenwasser als Brauchwasser ist dies im Entwässerungsantrag separat darzustellen. Für die Brauchwassernutzung ist ein separater Wasserzähler vorzusehen. Für Zähler- und Abwassergebühren gelten die Vorschriften der örtlichen Wasserversorgungs- bzw. Entwässerungssatzung.</w:t>
      </w:r>
    </w:p>
    <w:p w:rsidR="00143A4D" w:rsidRPr="00E57EC9" w:rsidRDefault="00143A4D" w:rsidP="00E57EC9">
      <w:pPr>
        <w:spacing w:line="240" w:lineRule="exact"/>
        <w:ind w:left="708" w:right="907"/>
        <w:jc w:val="both"/>
      </w:pPr>
    </w:p>
    <w:p w:rsidR="00E57EC9" w:rsidRDefault="00E57EC9" w:rsidP="00E57EC9">
      <w:pPr>
        <w:ind w:right="907"/>
        <w:jc w:val="both"/>
      </w:pPr>
    </w:p>
    <w:p w:rsidR="00281063" w:rsidRDefault="00281063" w:rsidP="00281063">
      <w:pPr>
        <w:ind w:right="907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Hinweise</w:t>
      </w:r>
    </w:p>
    <w:p w:rsidR="00281063" w:rsidRDefault="00281063" w:rsidP="00281063">
      <w:pPr>
        <w:ind w:right="907"/>
        <w:jc w:val="both"/>
      </w:pPr>
    </w:p>
    <w:p w:rsidR="00281063" w:rsidRDefault="00281063" w:rsidP="00281063">
      <w:pPr>
        <w:spacing w:line="240" w:lineRule="exact"/>
        <w:ind w:left="709" w:right="907"/>
        <w:jc w:val="both"/>
      </w:pPr>
    </w:p>
    <w:p w:rsidR="00281063" w:rsidRDefault="00281063" w:rsidP="00281063">
      <w:pPr>
        <w:spacing w:line="240" w:lineRule="exact"/>
        <w:ind w:right="907"/>
        <w:jc w:val="both"/>
        <w:rPr>
          <w:b/>
        </w:rPr>
      </w:pPr>
      <w:r>
        <w:rPr>
          <w:b/>
        </w:rPr>
        <w:t>4.</w:t>
      </w:r>
      <w:r w:rsidR="00444761">
        <w:rPr>
          <w:b/>
        </w:rPr>
        <w:t>1</w:t>
      </w:r>
      <w:r>
        <w:rPr>
          <w:b/>
        </w:rPr>
        <w:tab/>
        <w:t>Kanalhausanschlüsse</w:t>
      </w:r>
    </w:p>
    <w:p w:rsidR="00281063" w:rsidRDefault="00281063" w:rsidP="00281063">
      <w:pPr>
        <w:ind w:left="709" w:right="907"/>
        <w:jc w:val="both"/>
      </w:pPr>
    </w:p>
    <w:p w:rsidR="00281063" w:rsidRDefault="00281063" w:rsidP="00281063">
      <w:pPr>
        <w:spacing w:line="240" w:lineRule="exact"/>
        <w:ind w:left="709" w:right="907"/>
        <w:jc w:val="both"/>
      </w:pPr>
      <w:r>
        <w:t xml:space="preserve">Bei Hausanschlüssen sind Ablaufeinrichtungen unterhalb der Rückstauebene mit Hebeanlagen oder Rückstauverschlüssen nach DIN 1986 zu versehen. </w:t>
      </w:r>
    </w:p>
    <w:p w:rsidR="00755CF2" w:rsidRDefault="00755CF2" w:rsidP="00281063">
      <w:pPr>
        <w:spacing w:line="240" w:lineRule="exact"/>
        <w:ind w:left="709" w:right="907"/>
        <w:jc w:val="both"/>
      </w:pPr>
    </w:p>
    <w:p w:rsidR="00281063" w:rsidRDefault="00281063" w:rsidP="00281063">
      <w:pPr>
        <w:ind w:left="709" w:right="907"/>
        <w:jc w:val="both"/>
      </w:pPr>
    </w:p>
    <w:p w:rsidR="00281063" w:rsidRDefault="00281063" w:rsidP="00281063">
      <w:pPr>
        <w:ind w:right="907"/>
        <w:jc w:val="both"/>
        <w:rPr>
          <w:b/>
        </w:rPr>
      </w:pPr>
      <w:r>
        <w:rPr>
          <w:b/>
        </w:rPr>
        <w:t>4.</w:t>
      </w:r>
      <w:r w:rsidR="00444761">
        <w:rPr>
          <w:b/>
        </w:rPr>
        <w:t>3</w:t>
      </w:r>
      <w:r>
        <w:rPr>
          <w:b/>
        </w:rPr>
        <w:t>.</w:t>
      </w:r>
      <w:r>
        <w:rPr>
          <w:b/>
        </w:rPr>
        <w:tab/>
        <w:t>Bodenfunde</w:t>
      </w:r>
    </w:p>
    <w:p w:rsidR="00281063" w:rsidRDefault="00281063" w:rsidP="00281063">
      <w:pPr>
        <w:ind w:left="709" w:right="907"/>
        <w:jc w:val="both"/>
      </w:pPr>
    </w:p>
    <w:p w:rsidR="00281063" w:rsidRDefault="00281063" w:rsidP="00281063">
      <w:pPr>
        <w:ind w:left="709" w:right="907"/>
        <w:jc w:val="both"/>
      </w:pPr>
      <w:r>
        <w:t>Die Archäologische Denkmalpflege  ist bei zufälligen Bodenfunden unverzüglich zu benachrichtigen. Auch ist sie hinzuzuziehen, wenn Bildstöcke, Wegkreuze, alte Grenzsteine oder ähnliches von den Baumaßnahmen betroffen sein sollten.</w:t>
      </w:r>
    </w:p>
    <w:p w:rsidR="00281063" w:rsidRDefault="00281063" w:rsidP="00281063">
      <w:pPr>
        <w:ind w:right="907"/>
        <w:jc w:val="both"/>
      </w:pPr>
    </w:p>
    <w:p w:rsidR="00281063" w:rsidRDefault="00281063" w:rsidP="00281063">
      <w:pPr>
        <w:ind w:right="907"/>
        <w:jc w:val="both"/>
      </w:pPr>
    </w:p>
    <w:p w:rsidR="001E39A7" w:rsidRDefault="001E39A7" w:rsidP="001E39A7">
      <w:pPr>
        <w:ind w:right="907"/>
        <w:jc w:val="both"/>
        <w:rPr>
          <w:b/>
        </w:rPr>
      </w:pPr>
      <w:r>
        <w:rPr>
          <w:b/>
        </w:rPr>
        <w:t>4.</w:t>
      </w:r>
      <w:r w:rsidR="00755CF2">
        <w:rPr>
          <w:b/>
        </w:rPr>
        <w:t>4</w:t>
      </w:r>
      <w:r>
        <w:rPr>
          <w:b/>
        </w:rPr>
        <w:t>.</w:t>
      </w:r>
      <w:r>
        <w:rPr>
          <w:b/>
        </w:rPr>
        <w:tab/>
        <w:t xml:space="preserve">Lärmschutz </w:t>
      </w:r>
    </w:p>
    <w:p w:rsidR="00281063" w:rsidRDefault="00281063" w:rsidP="00281063">
      <w:pPr>
        <w:ind w:right="907"/>
        <w:jc w:val="both"/>
      </w:pPr>
    </w:p>
    <w:p w:rsidR="00281063" w:rsidRDefault="001E39A7" w:rsidP="001E39A7">
      <w:pPr>
        <w:ind w:left="709" w:right="907"/>
        <w:jc w:val="both"/>
      </w:pPr>
      <w:r>
        <w:t>Bei der Errichtung von Gebäuden wird empfohlen</w:t>
      </w:r>
      <w:r w:rsidR="00DD7E73">
        <w:t xml:space="preserve"> DIN 4109, Schallschutz im Hochbau für Außenbauteile von schutzbedürftigen Aufenthaltsräumen zu beachten. </w:t>
      </w:r>
    </w:p>
    <w:p w:rsidR="001E39A7" w:rsidRDefault="001E39A7" w:rsidP="001E39A7">
      <w:pPr>
        <w:ind w:left="709" w:right="907"/>
        <w:jc w:val="both"/>
      </w:pPr>
    </w:p>
    <w:p w:rsidR="001E39A7" w:rsidRDefault="001E39A7" w:rsidP="001E39A7">
      <w:pPr>
        <w:ind w:left="709" w:right="907"/>
        <w:jc w:val="both"/>
      </w:pPr>
    </w:p>
    <w:p w:rsidR="00E57EC9" w:rsidRDefault="00E57EC9" w:rsidP="001E39A7">
      <w:pPr>
        <w:ind w:left="709" w:right="907"/>
        <w:jc w:val="both"/>
      </w:pPr>
    </w:p>
    <w:p w:rsidR="00E57EC9" w:rsidRDefault="00E57EC9" w:rsidP="001E39A7">
      <w:pPr>
        <w:ind w:left="709" w:right="907"/>
        <w:jc w:val="both"/>
      </w:pPr>
    </w:p>
    <w:p w:rsidR="001E39A7" w:rsidRDefault="001E39A7" w:rsidP="001E39A7">
      <w:pPr>
        <w:ind w:left="709" w:right="907"/>
        <w:jc w:val="both"/>
      </w:pPr>
    </w:p>
    <w:p w:rsidR="00281063" w:rsidRDefault="00281063" w:rsidP="00281063">
      <w:pPr>
        <w:tabs>
          <w:tab w:val="left" w:pos="4820"/>
        </w:tabs>
        <w:ind w:right="907"/>
        <w:jc w:val="both"/>
      </w:pPr>
      <w:r>
        <w:t>Ausgefertigt:</w:t>
      </w:r>
    </w:p>
    <w:p w:rsidR="00281063" w:rsidRDefault="00281063" w:rsidP="00281063">
      <w:pPr>
        <w:tabs>
          <w:tab w:val="left" w:pos="4820"/>
        </w:tabs>
        <w:ind w:right="907"/>
        <w:jc w:val="both"/>
      </w:pPr>
    </w:p>
    <w:p w:rsidR="00281063" w:rsidRDefault="00755CF2" w:rsidP="00281063">
      <w:pPr>
        <w:tabs>
          <w:tab w:val="left" w:pos="4820"/>
        </w:tabs>
        <w:ind w:right="907"/>
        <w:jc w:val="both"/>
      </w:pPr>
      <w:r>
        <w:t>Schömberg</w:t>
      </w:r>
      <w:r w:rsidR="00281063">
        <w:t xml:space="preserve">, </w:t>
      </w:r>
    </w:p>
    <w:p w:rsidR="00281063" w:rsidRDefault="00281063" w:rsidP="00281063"/>
    <w:p w:rsidR="00281063" w:rsidRDefault="00281063" w:rsidP="00281063"/>
    <w:p w:rsidR="00281063" w:rsidRDefault="00281063" w:rsidP="00281063"/>
    <w:p w:rsidR="00281063" w:rsidRDefault="00755CF2" w:rsidP="00281063">
      <w:r>
        <w:t>Spreng</w:t>
      </w:r>
      <w:r w:rsidR="00281063">
        <w:t>er, Bürgermeister</w:t>
      </w:r>
    </w:p>
    <w:p w:rsidR="00BD239A" w:rsidRDefault="00BD239A"/>
    <w:sectPr w:rsidR="00BD239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567" w:bottom="1134" w:left="1361" w:header="141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1A" w:rsidRDefault="006D521A" w:rsidP="00281063">
      <w:r>
        <w:separator/>
      </w:r>
    </w:p>
  </w:endnote>
  <w:endnote w:type="continuationSeparator" w:id="0">
    <w:p w:rsidR="006D521A" w:rsidRDefault="006D521A" w:rsidP="0028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Courier New"/>
    <w:charset w:val="00"/>
    <w:family w:val="swiss"/>
    <w:pitch w:val="variable"/>
    <w:sig w:usb0="00000000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19"/>
    </w:tblGrid>
    <w:tr w:rsidR="00A30EFF">
      <w:trPr>
        <w:trHeight w:val="300"/>
      </w:trPr>
      <w:tc>
        <w:tcPr>
          <w:tcW w:w="10119" w:type="dxa"/>
          <w:shd w:val="pct10" w:color="auto" w:fill="auto"/>
        </w:tcPr>
        <w:p w:rsidR="00A30EFF" w:rsidRDefault="00302FC0">
          <w:pPr>
            <w:keepLines/>
            <w:tabs>
              <w:tab w:val="right" w:pos="9072"/>
            </w:tabs>
            <w:spacing w:before="120" w:line="240" w:lineRule="exact"/>
            <w:jc w:val="both"/>
          </w:pPr>
          <w:r>
            <w:t>Bebauungsvorschriften</w:t>
          </w:r>
          <w:r>
            <w:tab/>
            <w:t xml:space="preserve">Seite </w:t>
          </w:r>
          <w:r>
            <w:pgNum/>
          </w:r>
          <w:r>
            <w:t xml:space="preserve"> von 6</w:t>
          </w:r>
        </w:p>
      </w:tc>
    </w:tr>
  </w:tbl>
  <w:p w:rsidR="00A30EFF" w:rsidRDefault="00A30EFF">
    <w:pPr>
      <w:keepLines/>
      <w:spacing w:line="240" w:lineRule="exact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19"/>
    </w:tblGrid>
    <w:tr w:rsidR="00A30EFF">
      <w:trPr>
        <w:trHeight w:val="300"/>
      </w:trPr>
      <w:tc>
        <w:tcPr>
          <w:tcW w:w="10119" w:type="dxa"/>
          <w:shd w:val="pct10" w:color="auto" w:fill="auto"/>
        </w:tcPr>
        <w:p w:rsidR="00A30EFF" w:rsidRDefault="00302FC0">
          <w:pPr>
            <w:keepLines/>
            <w:tabs>
              <w:tab w:val="right" w:pos="9072"/>
            </w:tabs>
            <w:spacing w:before="120" w:line="240" w:lineRule="exact"/>
            <w:jc w:val="both"/>
            <w:rPr>
              <w:b/>
            </w:rPr>
          </w:pPr>
          <w:r>
            <w:rPr>
              <w:b/>
            </w:rPr>
            <w:t>Örtliche Bauvorschriften</w:t>
          </w:r>
          <w:r>
            <w:rPr>
              <w:b/>
            </w:rPr>
            <w:tab/>
            <w:t xml:space="preserve">Seite </w:t>
          </w:r>
          <w:r>
            <w:rPr>
              <w:b/>
            </w:rPr>
            <w:pgNum/>
          </w:r>
          <w:r>
            <w:rPr>
              <w:b/>
            </w:rPr>
            <w:t xml:space="preserve"> von 3</w:t>
          </w:r>
        </w:p>
      </w:tc>
    </w:tr>
  </w:tbl>
  <w:p w:rsidR="00A30EFF" w:rsidRDefault="00A30EFF">
    <w:pPr>
      <w:keepLines/>
      <w:spacing w:line="240" w:lineRule="exact"/>
      <w:jc w:val="both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</w:tblGrid>
    <w:tr w:rsidR="00A30EFF" w:rsidTr="00281063">
      <w:trPr>
        <w:trHeight w:val="300"/>
      </w:trPr>
      <w:tc>
        <w:tcPr>
          <w:tcW w:w="8575" w:type="dxa"/>
          <w:shd w:val="pct10" w:color="auto" w:fill="auto"/>
        </w:tcPr>
        <w:p w:rsidR="00A30EFF" w:rsidRDefault="00302FC0" w:rsidP="00281063">
          <w:pPr>
            <w:keepLines/>
            <w:tabs>
              <w:tab w:val="right" w:pos="8364"/>
            </w:tabs>
            <w:spacing w:before="120" w:line="240" w:lineRule="exact"/>
            <w:jc w:val="both"/>
            <w:rPr>
              <w:b/>
            </w:rPr>
          </w:pPr>
          <w:r>
            <w:rPr>
              <w:b/>
            </w:rPr>
            <w:t>Örtliche Bauvorschriften</w:t>
          </w:r>
          <w:r>
            <w:rPr>
              <w:b/>
            </w:rPr>
            <w:tab/>
            <w:t xml:space="preserve">Seite </w:t>
          </w:r>
          <w:r>
            <w:rPr>
              <w:b/>
            </w:rPr>
            <w:pgNum/>
          </w:r>
          <w:r>
            <w:rPr>
              <w:b/>
            </w:rPr>
            <w:t xml:space="preserve"> von 3</w:t>
          </w:r>
        </w:p>
      </w:tc>
    </w:tr>
  </w:tbl>
  <w:p w:rsidR="00A30EFF" w:rsidRDefault="00A30EFF">
    <w:pPr>
      <w:keepLines/>
      <w:tabs>
        <w:tab w:val="right" w:pos="9072"/>
      </w:tabs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1A" w:rsidRDefault="006D521A" w:rsidP="00281063">
      <w:r>
        <w:separator/>
      </w:r>
    </w:p>
  </w:footnote>
  <w:footnote w:type="continuationSeparator" w:id="0">
    <w:p w:rsidR="006D521A" w:rsidRDefault="006D521A" w:rsidP="0028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19"/>
    </w:tblGrid>
    <w:tr w:rsidR="00A30EFF">
      <w:trPr>
        <w:trHeight w:val="300"/>
      </w:trPr>
      <w:tc>
        <w:tcPr>
          <w:tcW w:w="10119" w:type="dxa"/>
          <w:shd w:val="pct10" w:color="auto" w:fill="auto"/>
        </w:tcPr>
        <w:p w:rsidR="00A30EFF" w:rsidRDefault="00302FC0">
          <w:pPr>
            <w:keepLines/>
            <w:shd w:val="pct10" w:color="auto" w:fill="auto"/>
            <w:tabs>
              <w:tab w:val="left" w:pos="3119"/>
            </w:tabs>
            <w:spacing w:before="240" w:line="240" w:lineRule="exact"/>
          </w:pPr>
          <w:r>
            <w:t xml:space="preserve">Gemeinde </w:t>
          </w:r>
          <w:proofErr w:type="spellStart"/>
          <w:r>
            <w:t>Villingendorf</w:t>
          </w:r>
          <w:proofErr w:type="spellEnd"/>
          <w:r>
            <w:t>:</w:t>
          </w:r>
          <w:r>
            <w:tab/>
            <w:t xml:space="preserve">Bebauungsplan </w:t>
          </w:r>
          <w:proofErr w:type="spellStart"/>
          <w:r>
            <w:t>Dotzentäle</w:t>
          </w:r>
          <w:proofErr w:type="spellEnd"/>
          <w:r>
            <w:t xml:space="preserve"> Teil B</w:t>
          </w:r>
          <w:r>
            <w:br/>
          </w:r>
        </w:p>
      </w:tc>
    </w:tr>
  </w:tbl>
  <w:p w:rsidR="00A30EFF" w:rsidRDefault="00A30E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</w:tblGrid>
    <w:tr w:rsidR="00A30EFF" w:rsidTr="00281063">
      <w:trPr>
        <w:trHeight w:val="300"/>
      </w:trPr>
      <w:tc>
        <w:tcPr>
          <w:tcW w:w="8575" w:type="dxa"/>
          <w:shd w:val="clear" w:color="auto" w:fill="E6E6E6"/>
        </w:tcPr>
        <w:p w:rsidR="00A30EFF" w:rsidRDefault="00A30EFF">
          <w:pPr>
            <w:keepLines/>
            <w:shd w:val="pct10" w:color="auto" w:fill="auto"/>
            <w:tabs>
              <w:tab w:val="left" w:pos="3119"/>
            </w:tabs>
            <w:rPr>
              <w:b/>
            </w:rPr>
          </w:pPr>
        </w:p>
        <w:p w:rsidR="00A30EFF" w:rsidRDefault="00444761" w:rsidP="00281063">
          <w:pPr>
            <w:keepLines/>
            <w:shd w:val="pct10" w:color="auto" w:fill="auto"/>
            <w:tabs>
              <w:tab w:val="left" w:pos="2694"/>
            </w:tabs>
            <w:rPr>
              <w:b/>
            </w:rPr>
          </w:pPr>
          <w:r>
            <w:rPr>
              <w:b/>
            </w:rPr>
            <w:t>Stadt Schömberg</w:t>
          </w:r>
          <w:r w:rsidR="00302FC0">
            <w:rPr>
              <w:b/>
            </w:rPr>
            <w:t>:</w:t>
          </w:r>
          <w:r w:rsidR="00302FC0">
            <w:rPr>
              <w:b/>
            </w:rPr>
            <w:tab/>
            <w:t xml:space="preserve">Bebauungsplan </w:t>
          </w:r>
          <w:r>
            <w:rPr>
              <w:b/>
            </w:rPr>
            <w:t>„Gassen II“ in Schömberg</w:t>
          </w:r>
        </w:p>
        <w:p w:rsidR="00A30EFF" w:rsidRDefault="00A30EFF">
          <w:pPr>
            <w:keepLines/>
            <w:shd w:val="pct10" w:color="auto" w:fill="auto"/>
            <w:tabs>
              <w:tab w:val="left" w:pos="3119"/>
            </w:tabs>
            <w:spacing w:line="240" w:lineRule="exact"/>
            <w:rPr>
              <w:b/>
            </w:rPr>
          </w:pPr>
        </w:p>
        <w:p w:rsidR="00A30EFF" w:rsidRDefault="00302FC0">
          <w:pPr>
            <w:keepLines/>
            <w:shd w:val="pct10" w:color="auto" w:fill="auto"/>
            <w:tabs>
              <w:tab w:val="left" w:pos="3119"/>
            </w:tabs>
            <w:spacing w:line="240" w:lineRule="exact"/>
            <w:rPr>
              <w:b/>
            </w:rPr>
          </w:pPr>
          <w:r>
            <w:rPr>
              <w:b/>
            </w:rPr>
            <w:t>Örtliche Bauvorschriften</w:t>
          </w:r>
        </w:p>
      </w:tc>
    </w:tr>
  </w:tbl>
  <w:p w:rsidR="00A30EFF" w:rsidRDefault="00A30EFF">
    <w:pPr>
      <w:keepLines/>
      <w:tabs>
        <w:tab w:val="left" w:pos="3119"/>
      </w:tabs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63"/>
    <w:rsid w:val="0000137E"/>
    <w:rsid w:val="00007688"/>
    <w:rsid w:val="00143A4D"/>
    <w:rsid w:val="00166914"/>
    <w:rsid w:val="001772EC"/>
    <w:rsid w:val="001E39A7"/>
    <w:rsid w:val="0023214C"/>
    <w:rsid w:val="00281063"/>
    <w:rsid w:val="00302FC0"/>
    <w:rsid w:val="00444761"/>
    <w:rsid w:val="005E48EB"/>
    <w:rsid w:val="00621B6D"/>
    <w:rsid w:val="006633E5"/>
    <w:rsid w:val="006B7B08"/>
    <w:rsid w:val="006D521A"/>
    <w:rsid w:val="00755CF2"/>
    <w:rsid w:val="0078396D"/>
    <w:rsid w:val="008E59A2"/>
    <w:rsid w:val="00A1325D"/>
    <w:rsid w:val="00A30EFF"/>
    <w:rsid w:val="00AB515C"/>
    <w:rsid w:val="00BB3597"/>
    <w:rsid w:val="00BD239A"/>
    <w:rsid w:val="00C04E4C"/>
    <w:rsid w:val="00C50C9A"/>
    <w:rsid w:val="00C60B81"/>
    <w:rsid w:val="00DD7E73"/>
    <w:rsid w:val="00E57EC9"/>
    <w:rsid w:val="00F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C0BD-92E3-472E-A133-AC1370D4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1063"/>
    <w:rPr>
      <w:rFonts w:eastAsia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81063"/>
    <w:pPr>
      <w:keepNext/>
      <w:ind w:left="709" w:right="907"/>
      <w:jc w:val="both"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1063"/>
    <w:rPr>
      <w:rFonts w:eastAsia="Times New Roman" w:cs="Times New Roman"/>
      <w:szCs w:val="24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281063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28106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281063"/>
    <w:pPr>
      <w:tabs>
        <w:tab w:val="left" w:pos="1085"/>
        <w:tab w:val="left" w:pos="1736"/>
        <w:tab w:val="right" w:pos="7378"/>
      </w:tabs>
      <w:overflowPunct w:val="0"/>
      <w:autoSpaceDE w:val="0"/>
      <w:autoSpaceDN w:val="0"/>
      <w:adjustRightInd w:val="0"/>
      <w:spacing w:line="360" w:lineRule="auto"/>
      <w:ind w:left="1085" w:hanging="1085"/>
      <w:textAlignment w:val="baseline"/>
    </w:pPr>
    <w:rPr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281063"/>
    <w:rPr>
      <w:rFonts w:eastAsia="Times New Roman" w:cs="Times New Roman"/>
      <w:szCs w:val="20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281063"/>
  </w:style>
  <w:style w:type="character" w:customStyle="1" w:styleId="E-Mail-SignaturZchn">
    <w:name w:val="E-Mail-Signatur Zchn"/>
    <w:basedOn w:val="Absatz-Standardschriftart"/>
    <w:link w:val="E-Mail-Signatur"/>
    <w:semiHidden/>
    <w:rsid w:val="00281063"/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14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9062-F5F1-496F-85F8-41A37A42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Weisser ( Ing. -Buero Weisser-Kernl )</dc:creator>
  <cp:lastModifiedBy>Neumann ,Sabine</cp:lastModifiedBy>
  <cp:revision>4</cp:revision>
  <cp:lastPrinted>2018-11-09T10:18:00Z</cp:lastPrinted>
  <dcterms:created xsi:type="dcterms:W3CDTF">2018-11-09T10:58:00Z</dcterms:created>
  <dcterms:modified xsi:type="dcterms:W3CDTF">2018-12-05T15:44:00Z</dcterms:modified>
</cp:coreProperties>
</file>